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Actigy BPO AI Billing Pilot Worksheet</w:t>
      </w:r>
    </w:p>
    <w:p>
      <w:pPr>
        <w:pStyle w:val="Subtitle"/>
      </w:pPr>
      <w:r>
        <w:t>Editable template with a worked example</w:t>
      </w:r>
    </w:p>
    <w:p>
      <w:r>
        <w:t>Test one billing task against a defined baseline. Agree the review standard, data permissions, and critical errors before evaluating results. This worksheet does not prescribe a universal accuracy or savings target.</w:t>
      </w:r>
    </w:p>
    <w:p>
      <w:r>
        <w:t xml:space="preserve">Companion guide: </w:t>
      </w:r>
      <w:hyperlink r:id="rId11">
        <w:r>
          <w:rPr>
            <w:color w:val="3340C7"/>
            <w:u w:val="single"/>
          </w:rPr>
          <w:t>Actigy BPO AI Billing Pilot Worksheet</w:t>
        </w:r>
      </w:hyperlink>
      <w:r>
        <w:t>. Evidence checked 18 October 2026. Original Actigy BPO tool. Reuse with attribution to the guide.</w:t>
      </w:r>
    </w:p>
    <w:p>
      <w:pPr>
        <w:spacing w:after="220"/>
      </w:pPr>
      <w:r>
        <w:t>Task and eligible population: __________________________________________________</w:t>
      </w:r>
    </w:p>
    <w:p>
      <w:pPr>
        <w:spacing w:after="220"/>
      </w:pPr>
      <w:r>
        <w:t>Tool and technology owner: __________________________________________________</w:t>
      </w:r>
    </w:p>
    <w:p>
      <w:pPr>
        <w:spacing w:after="220"/>
      </w:pPr>
      <w:r>
        <w:t>Operational owner and authorized reviewer: __________________________________________________</w:t>
      </w:r>
    </w:p>
    <w:p>
      <w:pPr>
        <w:pStyle w:val="Heading1"/>
      </w:pPr>
      <w:r>
        <w:t>Use case control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024"/>
        <w:gridCol w:w="7142"/>
      </w:tblGrid>
      <w:tr>
        <w:trPr>
          <w:cantSplit/>
          <w:tblHeader w:val="true"/>
        </w:trPr>
        <w:tc>
          <w:tcPr>
            <w:tcW w:type="dxa" w:w="3024"/>
            <w:vAlign w:val="center"/>
            <w:shd w:fill="1A215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/>
                <w:color w:val="FFFFFF"/>
                <w:sz w:val="18"/>
              </w:rPr>
              <w:t>Use case</w:t>
            </w:r>
          </w:p>
        </w:tc>
        <w:tc>
          <w:tcPr>
            <w:tcW w:type="dxa" w:w="7142"/>
            <w:vAlign w:val="center"/>
            <w:shd w:fill="1A215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/>
                <w:color w:val="FFFFFF"/>
                <w:sz w:val="18"/>
              </w:rPr>
              <w:t>Control to specify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Worklist classification</w:t>
            </w:r>
          </w:p>
        </w:tc>
        <w:tc>
          <w:tcPr>
            <w:tcW w:type="dxa" w:w="7142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Reviewer confirms routing and exceptions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Missing-field detection</w:t>
            </w:r>
          </w:p>
        </w:tc>
        <w:tc>
          <w:tcPr>
            <w:tcW w:type="dxa" w:w="714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Check whether the field is required in context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Coding assistance</w:t>
            </w:r>
          </w:p>
        </w:tc>
        <w:tc>
          <w:tcPr>
            <w:tcW w:type="dxa" w:w="7142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Qualified review against documentation and rules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Appeal drafting</w:t>
            </w:r>
          </w:p>
        </w:tc>
        <w:tc>
          <w:tcPr>
            <w:tcW w:type="dxa" w:w="714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Authorized review of facts, evidence, and submission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Payment anomalies</w:t>
            </w:r>
          </w:p>
        </w:tc>
        <w:tc>
          <w:tcPr>
            <w:tcW w:type="dxa" w:w="7142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Reconcile against remittance and contract context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Communication drafting</w:t>
            </w:r>
          </w:p>
        </w:tc>
        <w:tc>
          <w:tcPr>
            <w:tcW w:type="dxa" w:w="714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Check accuracy, permissions, and approved workflow</w:t>
            </w:r>
          </w:p>
        </w:tc>
      </w:tr>
    </w:tbl>
    <w:p>
      <w:pPr>
        <w:spacing w:after="40"/>
      </w:pPr>
    </w:p>
    <w:p>
      <w:pPr>
        <w:spacing w:after="140"/>
      </w:pPr>
      <w:r>
        <w:t>Select the applicable row and document who can change records, submit claims, send messages, or close accounts. A suggestion does not confer authority to act.</w:t>
      </w:r>
    </w:p>
    <w:p>
      <w:r>
        <w:br w:type="page"/>
      </w:r>
    </w:p>
    <w:p>
      <w:pPr>
        <w:pStyle w:val="Heading1"/>
      </w:pPr>
      <w:r>
        <w:t>Baseline and value calculation</w:t>
      </w:r>
    </w:p>
    <w:p>
      <w:pPr>
        <w:spacing w:after="220"/>
      </w:pPr>
      <w:r>
        <w:t>Comparison period and sample rationale: __________________________________________________</w:t>
      </w:r>
    </w:p>
    <w:p>
      <w:pPr>
        <w:spacing w:after="220"/>
      </w:pPr>
      <w:r>
        <w:t>Unit of work and exclusions: __________________________________________________</w:t>
      </w:r>
    </w:p>
    <w:p>
      <w:pPr>
        <w:spacing w:after="220"/>
      </w:pPr>
      <w:r>
        <w:t>Baseline handling time and quality: __________________________________________________</w:t>
      </w:r>
    </w:p>
    <w:p>
      <w:pPr>
        <w:spacing w:after="220"/>
      </w:pPr>
      <w:r>
        <w:t>Critical error categories and review method: 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040"/>
        <w:gridCol w:w="1958"/>
        <w:gridCol w:w="3168"/>
      </w:tblGrid>
      <w:tr>
        <w:trPr>
          <w:cantSplit/>
          <w:tblHeader w:val="true"/>
        </w:trPr>
        <w:tc>
          <w:tcPr>
            <w:tcW w:type="dxa" w:w="5040"/>
            <w:vAlign w:val="center"/>
            <w:shd w:fill="1A215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/>
                <w:color w:val="FFFFFF"/>
                <w:sz w:val="18"/>
              </w:rPr>
              <w:t>Input</w:t>
            </w:r>
          </w:p>
        </w:tc>
        <w:tc>
          <w:tcPr>
            <w:tcW w:type="dxa" w:w="1958"/>
            <w:vAlign w:val="center"/>
            <w:shd w:fill="1A215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/>
                <w:color w:val="FFFFFF"/>
                <w:sz w:val="18"/>
              </w:rPr>
              <w:t>Your pilot</w:t>
            </w:r>
          </w:p>
        </w:tc>
        <w:tc>
          <w:tcPr>
            <w:tcW w:type="dxa" w:w="3168"/>
            <w:vAlign w:val="center"/>
            <w:shd w:fill="1A215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/>
                <w:color w:val="FFFFFF"/>
                <w:sz w:val="18"/>
              </w:rPr>
              <w:t>Fictional example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Eligible tasks per month</w:t>
            </w:r>
          </w:p>
        </w:tc>
        <w:tc>
          <w:tcPr>
            <w:tcW w:type="dxa" w:w="1958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3168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2,000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Gross minutes saved per task</w:t>
            </w:r>
          </w:p>
        </w:tc>
        <w:tc>
          <w:tcPr>
            <w:tcW w:type="dxa" w:w="195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3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Added review and rework minutes per task</w:t>
            </w:r>
          </w:p>
        </w:tc>
        <w:tc>
          <w:tcPr>
            <w:tcW w:type="dxa" w:w="1958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3168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Net monthly hours released</w:t>
            </w:r>
          </w:p>
        </w:tc>
        <w:tc>
          <w:tcPr>
            <w:tcW w:type="dxa" w:w="195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66.7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Loaded hourly labor cost</w:t>
            </w:r>
          </w:p>
        </w:tc>
        <w:tc>
          <w:tcPr>
            <w:tcW w:type="dxa" w:w="1958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3168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US$30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Capacity value before tool cost</w:t>
            </w:r>
          </w:p>
        </w:tc>
        <w:tc>
          <w:tcPr>
            <w:tcW w:type="dxa" w:w="195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US$2,000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Recurring monthly tool cost</w:t>
            </w:r>
          </w:p>
        </w:tc>
        <w:tc>
          <w:tcPr>
            <w:tcW w:type="dxa" w:w="1958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3168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US$800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Net monthly value before setup cost</w:t>
            </w:r>
          </w:p>
        </w:tc>
        <w:tc>
          <w:tcPr>
            <w:tcW w:type="dxa" w:w="195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316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keepNext/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US$1,200</w:t>
            </w:r>
          </w:p>
        </w:tc>
      </w:tr>
      <w:tr>
        <w:trPr>
          <w:cantSplit/>
        </w:trPr>
        <w:tc>
          <w:tcPr>
            <w:tcW w:type="dxa" w:w="5040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One-time implementation cost</w:t>
            </w:r>
          </w:p>
        </w:tc>
        <w:tc>
          <w:tcPr>
            <w:tcW w:type="dxa" w:w="1958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________</w:t>
            </w:r>
          </w:p>
        </w:tc>
        <w:tc>
          <w:tcPr>
            <w:tcW w:type="dxa" w:w="3168"/>
            <w:vAlign w:val="center"/>
            <w:shd w:fill="F5F7FC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54" w:lineRule="auto"/>
            </w:pPr>
            <w:r>
              <w:rPr>
                <w:b w:val="0"/>
                <w:color w:val="141A2E"/>
                <w:sz w:val="18"/>
              </w:rPr>
              <w:t>US$6,000</w:t>
            </w:r>
          </w:p>
        </w:tc>
      </w:tr>
    </w:tbl>
    <w:p>
      <w:pPr>
        <w:spacing w:after="40"/>
      </w:pPr>
    </w:p>
    <w:p>
      <w:pPr>
        <w:spacing w:after="140"/>
      </w:pPr>
      <w:r>
        <w:t>Net hours = tasks × (gross minutes saved − added minutes) / 60. Net monthly value = hours × loaded rate − recurring cost. The example’s five-month simple payback applies only if the assumed US$1,200 net monthly benefit is realized. Capacity is not cash savings unless spending falls.</w:t>
      </w:r>
    </w:p>
    <w:p>
      <w:r>
        <w:br w:type="page"/>
      </w:r>
    </w:p>
    <w:p>
      <w:pPr>
        <w:pStyle w:val="Heading1"/>
      </w:pPr>
      <w:r>
        <w:t>Quality and decision record</w:t>
      </w:r>
    </w:p>
    <w:p>
      <w:pPr>
        <w:spacing w:after="220"/>
      </w:pPr>
      <w:r>
        <w:t>Items reviewed and population covered: __________________________________________________</w:t>
      </w:r>
    </w:p>
    <w:p>
      <w:pPr>
        <w:spacing w:after="220"/>
      </w:pPr>
      <w:r>
        <w:t>Accepted without edits and denominator: __________________________________________________</w:t>
      </w:r>
    </w:p>
    <w:p>
      <w:pPr>
        <w:spacing w:after="220"/>
      </w:pPr>
      <w:r>
        <w:t>Edited or rejected outputs and reasons: __________________________________________________</w:t>
      </w:r>
    </w:p>
    <w:p>
      <w:pPr>
        <w:spacing w:after="220"/>
      </w:pPr>
      <w:r>
        <w:t>Critical errors and escalation outcomes: __________________________________________________</w:t>
      </w:r>
    </w:p>
    <w:p>
      <w:pPr>
        <w:spacing w:after="220"/>
      </w:pPr>
      <w:r>
        <w:t>Observed net time after review and rework: __________________________________________________</w:t>
      </w:r>
    </w:p>
    <w:p>
      <w:pPr>
        <w:spacing w:after="220"/>
      </w:pPr>
      <w:r>
        <w:t>Data handling and access review result: __________________________________________________</w:t>
      </w:r>
    </w:p>
    <w:p>
      <w:pPr>
        <w:spacing w:after="220"/>
      </w:pPr>
      <w:r>
        <w:t>Comparison limitations and case-mix changes: __________________________________________________</w:t>
      </w:r>
    </w:p>
    <w:p>
      <w:pPr>
        <w:spacing w:after="220"/>
      </w:pPr>
      <w:r>
        <w:t>Decision to scale extend narrow or stop: __________________________________________________</w:t>
      </w:r>
    </w:p>
    <w:p>
      <w:pPr>
        <w:spacing w:after="220"/>
      </w:pPr>
      <w:r>
        <w:t>Decision owner date and rationale: __________________________________________________</w:t>
      </w:r>
    </w:p>
    <w:p>
      <w:pPr>
        <w:spacing w:after="220"/>
      </w:pPr>
      <w:r>
        <w:t>Rollback route and monitoring owner: __________________________________________________</w:t>
      </w:r>
    </w:p>
    <w:p>
      <w:pPr>
        <w:spacing w:after="220"/>
      </w:pPr>
      <w:r>
        <w:t>Next review and change triggers: __________________________________________________</w:t>
      </w:r>
    </w:p>
    <w:p>
      <w:pPr>
        <w:spacing w:after="140"/>
      </w:pPr>
      <w:r>
        <w:t>Keep model or tool version changes visible. Test difficult cases and exceptions as well as typical work. Do not infer billing ROI from physician AI adoption figures.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893" w:left="1037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actigy.com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rPr>
        <w:b/>
        <w:color w:val="000000"/>
        <w:sz w:val="16"/>
      </w:rPr>
      <w:t>ACTIGY BPO  |  EDITABLE OPERATING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41A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Arial" w:hAnsi="Arial"/>
      <w:b w:val="0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 w:val="0"/>
      <w:bCs/>
      <w:color w:val="4D5878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actigy.com/resources/ai-in-medical-bill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Actigy BPO AI Billing Pilot Worksheet</dc:title>
  <dc:subject>EDITABLE OPERATING TEMPLATE</dc:subject>
  <dc:creator>Actigy BPO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