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Actigy BPO Medical Billing Claim Control Log</w:t>
      </w:r>
    </w:p>
    <w:p>
      <w:pPr>
        <w:pStyle w:val="Subtitle"/>
      </w:pPr>
      <w:r>
        <w:t>Editable template with a worked example</w:t>
      </w:r>
    </w:p>
    <w:p>
      <w:r>
        <w:t>Use the checkpoints to trace a claim through the billing process. Complete the exception record whenever work stops. Keep supporting patient and payer information in approved systems.</w:t>
      </w:r>
    </w:p>
    <w:p>
      <w:r>
        <w:t xml:space="preserve">Companion guide: </w:t>
      </w:r>
      <w:hyperlink r:id="rId11">
        <w:r>
          <w:rPr>
            <w:color w:val="3340C7"/>
            <w:u w:val="single"/>
          </w:rPr>
          <w:t>Actigy BPO Medical Billing Claim Control Log</w:t>
        </w:r>
      </w:hyperlink>
      <w:r>
        <w:t>. Evidence checked 18 October 2026. Original Actigy BPO tool. Reuse with attribution to the guide.</w:t>
      </w:r>
    </w:p>
    <w:p>
      <w:pPr>
        <w:spacing w:after="220"/>
      </w:pPr>
      <w:r>
        <w:t>Organization and queue: __________________________________________________</w:t>
      </w:r>
    </w:p>
    <w:p>
      <w:pPr>
        <w:spacing w:after="220"/>
      </w:pPr>
      <w:r>
        <w:t>Policy version and process owner: __________________________________________________</w:t>
      </w:r>
    </w:p>
    <w:p>
      <w:pPr>
        <w:spacing w:after="220"/>
      </w:pPr>
      <w:r>
        <w:t>Reporting period and system: __________________________________________________</w:t>
      </w:r>
    </w:p>
    <w:p>
      <w:pPr>
        <w:pStyle w:val="Heading1"/>
      </w:pPr>
      <w:r>
        <w:t>Ten checkpoints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880"/>
        <w:gridCol w:w="5256"/>
        <w:gridCol w:w="2030"/>
      </w:tblGrid>
      <w:tr>
        <w:trPr>
          <w:cantSplit/>
          <w:tblHeader w:val="true"/>
        </w:trPr>
        <w:tc>
          <w:tcPr>
            <w:tcW w:type="dxa" w:w="2880"/>
            <w:vAlign w:val="center"/>
            <w:shd w:fill="1A2150"/>
            <w:tcMar>
              <w:top w:w="90" w:type="dxa"/>
              <w:left w:w="90" w:type="dxa"/>
              <w:bottom w:w="90" w:type="dxa"/>
              <w:right w:w="90" w:type="dxa"/>
            </w:tcMar>
          </w:tcPr>
          <w:p>
            <w:pPr>
              <w:spacing w:after="60" w:before="60" w:line="254" w:lineRule="auto"/>
            </w:pPr>
            <w:r>
              <w:rPr>
                <w:b/>
                <w:color w:val="FFFFFF"/>
                <w:sz w:val="18"/>
              </w:rPr>
              <w:t>Checkpoint</w:t>
            </w:r>
          </w:p>
        </w:tc>
        <w:tc>
          <w:tcPr>
            <w:tcW w:type="dxa" w:w="5256"/>
            <w:vAlign w:val="center"/>
            <w:shd w:fill="1A2150"/>
            <w:tcMar>
              <w:top w:w="90" w:type="dxa"/>
              <w:left w:w="90" w:type="dxa"/>
              <w:bottom w:w="90" w:type="dxa"/>
              <w:right w:w="90" w:type="dxa"/>
            </w:tcMar>
          </w:tcPr>
          <w:p>
            <w:pPr>
              <w:spacing w:after="60" w:before="60" w:line="254" w:lineRule="auto"/>
            </w:pPr>
            <w:r>
              <w:rPr>
                <w:b/>
                <w:color w:val="FFFFFF"/>
                <w:sz w:val="18"/>
              </w:rPr>
              <w:t>Expected record</w:t>
            </w:r>
          </w:p>
        </w:tc>
        <w:tc>
          <w:tcPr>
            <w:tcW w:type="dxa" w:w="2030"/>
            <w:vAlign w:val="center"/>
            <w:shd w:fill="1A2150"/>
            <w:tcMar>
              <w:top w:w="90" w:type="dxa"/>
              <w:left w:w="90" w:type="dxa"/>
              <w:bottom w:w="90" w:type="dxa"/>
              <w:right w:w="90" w:type="dxa"/>
            </w:tcMar>
          </w:tcPr>
          <w:p>
            <w:pPr>
              <w:spacing w:after="60" w:before="60" w:line="254" w:lineRule="auto"/>
            </w:pPr>
            <w:r>
              <w:rPr>
                <w:b/>
                <w:color w:val="FFFFFF"/>
                <w:sz w:val="18"/>
              </w:rPr>
              <w:t>Owner</w:t>
            </w:r>
          </w:p>
        </w:tc>
      </w:tr>
      <w:tr>
        <w:trPr>
          <w:cantSplit/>
        </w:trPr>
        <w:tc>
          <w:tcPr>
            <w:tcW w:type="dxa" w:w="2880"/>
            <w:vAlign w:val="center"/>
            <w:shd w:fill="F5F7FC"/>
            <w:tcMar>
              <w:top w:w="90" w:type="dxa"/>
              <w:left w:w="90" w:type="dxa"/>
              <w:bottom w:w="90" w:type="dxa"/>
              <w:right w:w="90" w:type="dxa"/>
            </w:tcMar>
          </w:tcPr>
          <w:p>
            <w:pPr>
              <w:spacing w:after="60" w:before="60" w:line="254" w:lineRule="auto"/>
            </w:pPr>
            <w:r>
              <w:rPr>
                <w:b w:val="0"/>
                <w:color w:val="141A2E"/>
                <w:sz w:val="18"/>
              </w:rPr>
              <w:t>Registration</w:t>
            </w:r>
          </w:p>
        </w:tc>
        <w:tc>
          <w:tcPr>
            <w:tcW w:type="dxa" w:w="5256"/>
            <w:vAlign w:val="center"/>
            <w:shd w:fill="F5F7FC"/>
            <w:tcMar>
              <w:top w:w="90" w:type="dxa"/>
              <w:left w:w="90" w:type="dxa"/>
              <w:bottom w:w="90" w:type="dxa"/>
              <w:right w:w="90" w:type="dxa"/>
            </w:tcMar>
          </w:tcPr>
          <w:p>
            <w:pPr>
              <w:spacing w:after="60" w:before="60" w:line="254" w:lineRule="auto"/>
            </w:pPr>
            <w:r>
              <w:rPr>
                <w:b w:val="0"/>
                <w:color w:val="141A2E"/>
                <w:sz w:val="18"/>
              </w:rPr>
              <w:t>Review status</w:t>
            </w:r>
          </w:p>
        </w:tc>
        <w:tc>
          <w:tcPr>
            <w:tcW w:type="dxa" w:w="2030"/>
            <w:vAlign w:val="center"/>
            <w:shd w:fill="F5F7FC"/>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Eligibility and benefits</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Response reference and open questions</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5F7FC"/>
            <w:tcMar>
              <w:top w:w="90" w:type="dxa"/>
              <w:left w:w="90" w:type="dxa"/>
              <w:bottom w:w="90" w:type="dxa"/>
              <w:right w:w="90" w:type="dxa"/>
            </w:tcMar>
          </w:tcPr>
          <w:p>
            <w:pPr>
              <w:spacing w:after="60" w:before="60" w:line="254" w:lineRule="auto"/>
            </w:pPr>
            <w:r>
              <w:rPr>
                <w:b w:val="0"/>
                <w:color w:val="141A2E"/>
                <w:sz w:val="18"/>
              </w:rPr>
              <w:t>Required authorization</w:t>
            </w:r>
          </w:p>
        </w:tc>
        <w:tc>
          <w:tcPr>
            <w:tcW w:type="dxa" w:w="5256"/>
            <w:vAlign w:val="center"/>
            <w:shd w:fill="F5F7FC"/>
            <w:tcMar>
              <w:top w:w="90" w:type="dxa"/>
              <w:left w:w="90" w:type="dxa"/>
              <w:bottom w:w="90" w:type="dxa"/>
              <w:right w:w="90" w:type="dxa"/>
            </w:tcMar>
          </w:tcPr>
          <w:p>
            <w:pPr>
              <w:spacing w:after="60" w:before="60" w:line="254" w:lineRule="auto"/>
            </w:pPr>
            <w:r>
              <w:rPr>
                <w:b w:val="0"/>
                <w:color w:val="141A2E"/>
                <w:sz w:val="18"/>
              </w:rPr>
              <w:t>Status, scope, and evidence</w:t>
            </w:r>
          </w:p>
        </w:tc>
        <w:tc>
          <w:tcPr>
            <w:tcW w:type="dxa" w:w="2030"/>
            <w:vAlign w:val="center"/>
            <w:shd w:fill="F5F7FC"/>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Documentation</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Record and query references</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5F7FC"/>
            <w:tcMar>
              <w:top w:w="90" w:type="dxa"/>
              <w:left w:w="90" w:type="dxa"/>
              <w:bottom w:w="90" w:type="dxa"/>
              <w:right w:w="90" w:type="dxa"/>
            </w:tcMar>
          </w:tcPr>
          <w:p>
            <w:pPr>
              <w:spacing w:after="60" w:before="60" w:line="254" w:lineRule="auto"/>
            </w:pPr>
            <w:r>
              <w:rPr>
                <w:b w:val="0"/>
                <w:color w:val="141A2E"/>
                <w:sz w:val="18"/>
              </w:rPr>
              <w:t>Coding and charges</w:t>
            </w:r>
          </w:p>
        </w:tc>
        <w:tc>
          <w:tcPr>
            <w:tcW w:type="dxa" w:w="5256"/>
            <w:vAlign w:val="center"/>
            <w:shd w:fill="F5F7FC"/>
            <w:tcMar>
              <w:top w:w="90" w:type="dxa"/>
              <w:left w:w="90" w:type="dxa"/>
              <w:bottom w:w="90" w:type="dxa"/>
              <w:right w:w="90" w:type="dxa"/>
            </w:tcMar>
          </w:tcPr>
          <w:p>
            <w:pPr>
              <w:spacing w:after="60" w:before="60" w:line="254" w:lineRule="auto"/>
            </w:pPr>
            <w:r>
              <w:rPr>
                <w:b w:val="0"/>
                <w:color w:val="141A2E"/>
                <w:sz w:val="18"/>
              </w:rPr>
              <w:t>Review status and open issues</w:t>
            </w:r>
          </w:p>
        </w:tc>
        <w:tc>
          <w:tcPr>
            <w:tcW w:type="dxa" w:w="2030"/>
            <w:vAlign w:val="center"/>
            <w:shd w:fill="F5F7FC"/>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Claim preparation</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Validation and correction history</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5F7FC"/>
            <w:tcMar>
              <w:top w:w="90" w:type="dxa"/>
              <w:left w:w="90" w:type="dxa"/>
              <w:bottom w:w="90" w:type="dxa"/>
              <w:right w:w="90" w:type="dxa"/>
            </w:tcMar>
          </w:tcPr>
          <w:p>
            <w:pPr>
              <w:spacing w:after="60" w:before="60" w:line="254" w:lineRule="auto"/>
            </w:pPr>
            <w:r>
              <w:rPr>
                <w:b w:val="0"/>
                <w:color w:val="141A2E"/>
                <w:sz w:val="18"/>
              </w:rPr>
              <w:t>Submission and acceptance</w:t>
            </w:r>
          </w:p>
        </w:tc>
        <w:tc>
          <w:tcPr>
            <w:tcW w:type="dxa" w:w="5256"/>
            <w:vAlign w:val="center"/>
            <w:shd w:fill="F5F7FC"/>
            <w:tcMar>
              <w:top w:w="90" w:type="dxa"/>
              <w:left w:w="90" w:type="dxa"/>
              <w:bottom w:w="90" w:type="dxa"/>
              <w:right w:w="90" w:type="dxa"/>
            </w:tcMar>
          </w:tcPr>
          <w:p>
            <w:pPr>
              <w:spacing w:after="60" w:before="60" w:line="254" w:lineRule="auto"/>
            </w:pPr>
            <w:r>
              <w:rPr>
                <w:b w:val="0"/>
                <w:color w:val="141A2E"/>
                <w:sz w:val="18"/>
              </w:rPr>
              <w:t>Transmission and response evidence</w:t>
            </w:r>
          </w:p>
        </w:tc>
        <w:tc>
          <w:tcPr>
            <w:tcW w:type="dxa" w:w="2030"/>
            <w:vAlign w:val="center"/>
            <w:shd w:fill="F5F7FC"/>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Adjudication follow-up</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Reason, disposition, and next action</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5F7FC"/>
            <w:tcMar>
              <w:top w:w="90" w:type="dxa"/>
              <w:left w:w="90" w:type="dxa"/>
              <w:bottom w:w="90" w:type="dxa"/>
              <w:right w:w="90" w:type="dxa"/>
            </w:tcMar>
          </w:tcPr>
          <w:p>
            <w:pPr>
              <w:keepNext/>
              <w:spacing w:after="60" w:before="60" w:line="254" w:lineRule="auto"/>
            </w:pPr>
            <w:r>
              <w:rPr>
                <w:b w:val="0"/>
                <w:color w:val="141A2E"/>
                <w:sz w:val="18"/>
              </w:rPr>
              <w:t>Payment posting</w:t>
            </w:r>
          </w:p>
        </w:tc>
        <w:tc>
          <w:tcPr>
            <w:tcW w:type="dxa" w:w="5256"/>
            <w:vAlign w:val="center"/>
            <w:shd w:fill="F5F7FC"/>
            <w:tcMar>
              <w:top w:w="90" w:type="dxa"/>
              <w:left w:w="90" w:type="dxa"/>
              <w:bottom w:w="90" w:type="dxa"/>
              <w:right w:w="90" w:type="dxa"/>
            </w:tcMar>
          </w:tcPr>
          <w:p>
            <w:pPr>
              <w:keepNext/>
              <w:spacing w:after="60" w:before="60" w:line="254" w:lineRule="auto"/>
            </w:pPr>
            <w:r>
              <w:rPr>
                <w:b w:val="0"/>
                <w:color w:val="141A2E"/>
                <w:sz w:val="18"/>
              </w:rPr>
              <w:t>Remittance reconciliation</w:t>
            </w:r>
          </w:p>
        </w:tc>
        <w:tc>
          <w:tcPr>
            <w:tcW w:type="dxa" w:w="2030"/>
            <w:vAlign w:val="center"/>
            <w:shd w:fill="F5F7FC"/>
            <w:tcMar>
              <w:top w:w="90" w:type="dxa"/>
              <w:left w:w="90" w:type="dxa"/>
              <w:bottom w:w="90" w:type="dxa"/>
              <w:right w:w="90" w:type="dxa"/>
            </w:tcMar>
          </w:tcPr>
          <w:p>
            <w:pPr>
              <w:keepNext/>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Balance resolution</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Outcome and closure evidence</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bl>
    <w:p>
      <w:pPr>
        <w:spacing w:after="40"/>
      </w:pPr>
    </w:p>
    <w:p>
      <w:pPr>
        <w:spacing w:after="140"/>
      </w:pPr>
      <w:r>
        <w:t>Number the checkpoints 1 to 10 in the order shown. Define system-specific statuses. Acceptance, adjudication, and payment are separate milestones.</w:t>
      </w:r>
    </w:p>
    <w:p>
      <w:r>
        <w:br w:type="page"/>
      </w:r>
    </w:p>
    <w:p>
      <w:pPr>
        <w:pStyle w:val="Heading1"/>
      </w:pPr>
      <w:r>
        <w:t>Reusable claim exception record</w:t>
      </w:r>
    </w:p>
    <w:p>
      <w:pPr>
        <w:spacing w:after="220"/>
      </w:pPr>
      <w:r>
        <w:t>Approved claim or account reference: __________________________________________________</w:t>
      </w:r>
    </w:p>
    <w:p>
      <w:pPr>
        <w:spacing w:after="220"/>
      </w:pPr>
      <w:r>
        <w:t>Current checkpoint and status: __________________________________________________</w:t>
      </w:r>
    </w:p>
    <w:p>
      <w:pPr>
        <w:spacing w:after="220"/>
      </w:pPr>
      <w:r>
        <w:t>Date identified and response reference: __________________________________________________</w:t>
      </w:r>
    </w:p>
    <w:p>
      <w:pPr>
        <w:spacing w:after="220"/>
      </w:pPr>
      <w:r>
        <w:t>Defect category and exact missing or inconsistent item: __________________________________________________</w:t>
      </w:r>
    </w:p>
    <w:p>
      <w:pPr>
        <w:spacing w:after="220"/>
      </w:pPr>
      <w:r>
        <w:t>Applicable response deadline and its source: __________________________________________________</w:t>
      </w:r>
    </w:p>
    <w:p>
      <w:pPr>
        <w:spacing w:after="220"/>
      </w:pPr>
      <w:r>
        <w:t>Next action: __________________________________________________</w:t>
      </w:r>
    </w:p>
    <w:p>
      <w:pPr>
        <w:spacing w:after="220"/>
      </w:pPr>
      <w:r>
        <w:t>Action owner and due date: __________________________________________________</w:t>
      </w:r>
    </w:p>
    <w:p>
      <w:pPr>
        <w:spacing w:after="220"/>
      </w:pPr>
      <w:r>
        <w:t>Escalation owner and trigger: __________________________________________________</w:t>
      </w:r>
    </w:p>
    <w:p>
      <w:pPr>
        <w:spacing w:after="220"/>
      </w:pPr>
      <w:r>
        <w:t>Action completed and evidence reference: __________________________________________________</w:t>
      </w:r>
    </w:p>
    <w:p>
      <w:pPr>
        <w:spacing w:after="220"/>
      </w:pPr>
      <w:r>
        <w:t>Acceptance or resolution check: __________________________________________________</w:t>
      </w:r>
    </w:p>
    <w:p>
      <w:pPr>
        <w:spacing w:after="220"/>
      </w:pPr>
      <w:r>
        <w:t>Closure reviewer and date: __________________________________________________</w:t>
      </w:r>
    </w:p>
    <w:p>
      <w:pPr>
        <w:spacing w:after="140"/>
      </w:pPr>
      <w:r>
        <w:t>Keep the original response and later actions traceable. Do not close an item solely because someone attempted a correction. Confirm the required milestone and its evidence.</w:t>
      </w:r>
    </w:p>
    <w:p>
      <w:r>
        <w:br w:type="page"/>
      </w:r>
    </w:p>
    <w:p>
      <w:pPr>
        <w:pStyle w:val="Heading1"/>
      </w:pPr>
      <w:r>
        <w:t>Worked example and weekly review</w:t>
      </w:r>
    </w:p>
    <w:p>
      <w:pPr>
        <w:spacing w:after="140"/>
      </w:pPr>
      <w:r>
        <w:t>Fictional example. A submission is rejected because required coverage information is incomplete. The owner verifies the missing field in the approved system, corrects the record, and submits through the authorized route. The item closes at the defined acceptance checkpoint after the new response is retained. It is not labeled paid.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24"/>
        <w:gridCol w:w="7142"/>
      </w:tblGrid>
      <w:tr>
        <w:trPr>
          <w:cantSplit/>
          <w:tblHeader w:val="true"/>
        </w:trPr>
        <w:tc>
          <w:tcPr>
            <w:tcW w:type="dxa" w:w="3024"/>
            <w:vAlign w:val="center"/>
            <w:shd w:fill="1A2150"/>
            <w:tcMar>
              <w:top w:w="90" w:type="dxa"/>
              <w:left w:w="90" w:type="dxa"/>
              <w:bottom w:w="90" w:type="dxa"/>
              <w:right w:w="90" w:type="dxa"/>
            </w:tcMar>
          </w:tcPr>
          <w:p>
            <w:pPr>
              <w:spacing w:after="60" w:before="60" w:line="254" w:lineRule="auto"/>
            </w:pPr>
            <w:r>
              <w:rPr>
                <w:b/>
                <w:color w:val="FFFFFF"/>
                <w:sz w:val="18"/>
              </w:rPr>
              <w:t>Review measure</w:t>
            </w:r>
          </w:p>
        </w:tc>
        <w:tc>
          <w:tcPr>
            <w:tcW w:type="dxa" w:w="7142"/>
            <w:vAlign w:val="center"/>
            <w:shd w:fill="1A2150"/>
            <w:tcMar>
              <w:top w:w="90" w:type="dxa"/>
              <w:left w:w="90" w:type="dxa"/>
              <w:bottom w:w="90" w:type="dxa"/>
              <w:right w:w="90" w:type="dxa"/>
            </w:tcMar>
          </w:tcPr>
          <w:p>
            <w:pPr>
              <w:spacing w:after="60" w:before="60" w:line="254" w:lineRule="auto"/>
            </w:pPr>
            <w:r>
              <w:rPr>
                <w:b/>
                <w:color w:val="FFFFFF"/>
                <w:sz w:val="18"/>
              </w:rPr>
              <w:t>Record or question</w:t>
            </w:r>
          </w:p>
        </w:tc>
      </w:tr>
      <w:tr>
        <w:trPr>
          <w:cantSplit/>
        </w:trPr>
        <w:tc>
          <w:tcPr>
            <w:tcW w:type="dxa" w:w="3024"/>
            <w:vAlign w:val="center"/>
            <w:shd w:fill="F5F7FC"/>
            <w:tcMar>
              <w:top w:w="90" w:type="dxa"/>
              <w:left w:w="90" w:type="dxa"/>
              <w:bottom w:w="90" w:type="dxa"/>
              <w:right w:w="90" w:type="dxa"/>
            </w:tcMar>
          </w:tcPr>
          <w:p>
            <w:pPr>
              <w:spacing w:after="60" w:before="60" w:line="254" w:lineRule="auto"/>
            </w:pPr>
            <w:r>
              <w:rPr>
                <w:b w:val="0"/>
                <w:color w:val="141A2E"/>
                <w:sz w:val="18"/>
              </w:rPr>
              <w:t>Recurring defect</w:t>
            </w:r>
          </w:p>
        </w:tc>
        <w:tc>
          <w:tcPr>
            <w:tcW w:type="dxa" w:w="7142"/>
            <w:vAlign w:val="center"/>
            <w:shd w:fill="F5F7FC"/>
            <w:tcMar>
              <w:top w:w="90" w:type="dxa"/>
              <w:left w:w="90" w:type="dxa"/>
              <w:bottom w:w="90" w:type="dxa"/>
              <w:right w:w="90" w:type="dxa"/>
            </w:tcMar>
          </w:tcPr>
          <w:p>
            <w:pPr>
              <w:spacing w:after="60" w:before="60" w:line="254" w:lineRule="auto"/>
            </w:pPr>
            <w:r>
              <w:rPr>
                <w:b w:val="0"/>
                <w:color w:val="141A2E"/>
                <w:sz w:val="18"/>
              </w:rPr>
              <w:t>Which category appeared repeatedly</w:t>
            </w:r>
          </w:p>
        </w:tc>
      </w:tr>
      <w:tr>
        <w:trPr>
          <w:cantSplit/>
        </w:trPr>
        <w:tc>
          <w:tcPr>
            <w:tcW w:type="dxa" w:w="3024"/>
            <w:vAlign w:val="center"/>
            <w:shd w:fill="FFFFFF"/>
            <w:tcMar>
              <w:top w:w="90" w:type="dxa"/>
              <w:left w:w="90" w:type="dxa"/>
              <w:bottom w:w="90" w:type="dxa"/>
              <w:right w:w="90" w:type="dxa"/>
            </w:tcMar>
          </w:tcPr>
          <w:p>
            <w:pPr>
              <w:spacing w:after="60" w:before="60" w:line="254" w:lineRule="auto"/>
            </w:pPr>
            <w:r>
              <w:rPr>
                <w:b w:val="0"/>
                <w:color w:val="141A2E"/>
                <w:sz w:val="18"/>
              </w:rPr>
              <w:t>Waiting time</w:t>
            </w:r>
          </w:p>
        </w:tc>
        <w:tc>
          <w:tcPr>
            <w:tcW w:type="dxa" w:w="7142"/>
            <w:vAlign w:val="center"/>
            <w:shd w:fill="FFFFFF"/>
            <w:tcMar>
              <w:top w:w="90" w:type="dxa"/>
              <w:left w:w="90" w:type="dxa"/>
              <w:bottom w:w="90" w:type="dxa"/>
              <w:right w:w="90" w:type="dxa"/>
            </w:tcMar>
          </w:tcPr>
          <w:p>
            <w:pPr>
              <w:spacing w:after="60" w:before="60" w:line="254" w:lineRule="auto"/>
            </w:pPr>
            <w:r>
              <w:rPr>
                <w:b w:val="0"/>
                <w:color w:val="141A2E"/>
                <w:sz w:val="18"/>
              </w:rPr>
              <w:t>Which handoff waited longest and why</w:t>
            </w:r>
          </w:p>
        </w:tc>
      </w:tr>
      <w:tr>
        <w:trPr>
          <w:cantSplit/>
        </w:trPr>
        <w:tc>
          <w:tcPr>
            <w:tcW w:type="dxa" w:w="3024"/>
            <w:vAlign w:val="center"/>
            <w:shd w:fill="F5F7FC"/>
            <w:tcMar>
              <w:top w:w="90" w:type="dxa"/>
              <w:left w:w="90" w:type="dxa"/>
              <w:bottom w:w="90" w:type="dxa"/>
              <w:right w:w="90" w:type="dxa"/>
            </w:tcMar>
          </w:tcPr>
          <w:p>
            <w:pPr>
              <w:spacing w:after="60" w:before="60" w:line="254" w:lineRule="auto"/>
            </w:pPr>
            <w:r>
              <w:rPr>
                <w:b w:val="0"/>
                <w:color w:val="141A2E"/>
                <w:sz w:val="18"/>
              </w:rPr>
              <w:t>Owner coverage</w:t>
            </w:r>
          </w:p>
        </w:tc>
        <w:tc>
          <w:tcPr>
            <w:tcW w:type="dxa" w:w="7142"/>
            <w:vAlign w:val="center"/>
            <w:shd w:fill="F5F7FC"/>
            <w:tcMar>
              <w:top w:w="90" w:type="dxa"/>
              <w:left w:w="90" w:type="dxa"/>
              <w:bottom w:w="90" w:type="dxa"/>
              <w:right w:w="90" w:type="dxa"/>
            </w:tcMar>
          </w:tcPr>
          <w:p>
            <w:pPr>
              <w:spacing w:after="60" w:before="60" w:line="254" w:lineRule="auto"/>
            </w:pPr>
            <w:r>
              <w:rPr>
                <w:b w:val="0"/>
                <w:color w:val="141A2E"/>
                <w:sz w:val="18"/>
              </w:rPr>
              <w:t>Which items have no current accountable owner</w:t>
            </w:r>
          </w:p>
        </w:tc>
      </w:tr>
      <w:tr>
        <w:trPr>
          <w:cantSplit/>
        </w:trPr>
        <w:tc>
          <w:tcPr>
            <w:tcW w:type="dxa" w:w="3024"/>
            <w:vAlign w:val="center"/>
            <w:shd w:fill="FFFFFF"/>
            <w:tcMar>
              <w:top w:w="90" w:type="dxa"/>
              <w:left w:w="90" w:type="dxa"/>
              <w:bottom w:w="90" w:type="dxa"/>
              <w:right w:w="90" w:type="dxa"/>
            </w:tcMar>
          </w:tcPr>
          <w:p>
            <w:pPr>
              <w:keepNext/>
              <w:spacing w:after="60" w:before="60" w:line="254" w:lineRule="auto"/>
            </w:pPr>
            <w:r>
              <w:rPr>
                <w:b w:val="0"/>
                <w:color w:val="141A2E"/>
                <w:sz w:val="18"/>
              </w:rPr>
              <w:t>Closure quality</w:t>
            </w:r>
          </w:p>
        </w:tc>
        <w:tc>
          <w:tcPr>
            <w:tcW w:type="dxa" w:w="7142"/>
            <w:vAlign w:val="center"/>
            <w:shd w:fill="FFFFFF"/>
            <w:tcMar>
              <w:top w:w="90" w:type="dxa"/>
              <w:left w:w="90" w:type="dxa"/>
              <w:bottom w:w="90" w:type="dxa"/>
              <w:right w:w="90" w:type="dxa"/>
            </w:tcMar>
          </w:tcPr>
          <w:p>
            <w:pPr>
              <w:keepNext/>
              <w:spacing w:after="60" w:before="60" w:line="254" w:lineRule="auto"/>
            </w:pPr>
            <w:r>
              <w:rPr>
                <w:b w:val="0"/>
                <w:color w:val="141A2E"/>
                <w:sz w:val="18"/>
              </w:rPr>
              <w:t>Do sampled closed items have supporting evidence</w:t>
            </w:r>
          </w:p>
        </w:tc>
      </w:tr>
      <w:tr>
        <w:trPr>
          <w:cantSplit/>
        </w:trPr>
        <w:tc>
          <w:tcPr>
            <w:tcW w:type="dxa" w:w="3024"/>
            <w:vAlign w:val="center"/>
            <w:shd w:fill="F5F7FC"/>
            <w:tcMar>
              <w:top w:w="90" w:type="dxa"/>
              <w:left w:w="90" w:type="dxa"/>
              <w:bottom w:w="90" w:type="dxa"/>
              <w:right w:w="90" w:type="dxa"/>
            </w:tcMar>
          </w:tcPr>
          <w:p>
            <w:pPr>
              <w:spacing w:after="60" w:before="60" w:line="254" w:lineRule="auto"/>
            </w:pPr>
            <w:r>
              <w:rPr>
                <w:b w:val="0"/>
                <w:color w:val="141A2E"/>
                <w:sz w:val="18"/>
              </w:rPr>
              <w:t>Upstream correction</w:t>
            </w:r>
          </w:p>
        </w:tc>
        <w:tc>
          <w:tcPr>
            <w:tcW w:type="dxa" w:w="7142"/>
            <w:vAlign w:val="center"/>
            <w:shd w:fill="F5F7FC"/>
            <w:tcMar>
              <w:top w:w="90" w:type="dxa"/>
              <w:left w:w="90" w:type="dxa"/>
              <w:bottom w:w="90" w:type="dxa"/>
              <w:right w:w="90" w:type="dxa"/>
            </w:tcMar>
          </w:tcPr>
          <w:p>
            <w:pPr>
              <w:spacing w:after="60" w:before="60" w:line="254" w:lineRule="auto"/>
            </w:pPr>
            <w:r>
              <w:rPr>
                <w:b w:val="0"/>
                <w:color w:val="141A2E"/>
                <w:sz w:val="18"/>
              </w:rPr>
              <w:t>What change could prevent recurrence</w:t>
            </w:r>
          </w:p>
        </w:tc>
      </w:tr>
    </w:tbl>
    <w:p>
      <w:pPr>
        <w:spacing w:after="40"/>
      </w:pPr>
    </w:p>
    <w:p>
      <w:pPr>
        <w:spacing w:after="220"/>
      </w:pPr>
      <w:r>
        <w:t>Weekly review date and attendees: __________________________________________________</w:t>
      </w:r>
    </w:p>
    <w:p>
      <w:pPr>
        <w:spacing w:after="220"/>
      </w:pPr>
      <w:r>
        <w:t>Priority action and owner: __________________________________________________</w:t>
      </w:r>
    </w:p>
    <w:p>
      <w:pPr>
        <w:spacing w:after="220"/>
      </w:pPr>
      <w:r>
        <w:t>Due date and expected evidence: __________________________________________________</w:t>
      </w:r>
    </w:p>
    <w:p>
      <w:pPr>
        <w:spacing w:after="220"/>
      </w:pPr>
      <w:r>
        <w:t>Next review outcome: __________________________________________________</w:t>
      </w:r>
    </w:p>
    <w:p>
      <w:pPr>
        <w:spacing w:after="140"/>
      </w:pPr>
      <w:r>
        <w:t>Illustrative calculation: 475 first-pass acceptances divided by 500 initial submissions equals 95% at that defined checkpoint. It does not measure payment.</w:t>
      </w:r>
    </w:p>
    <w:sectPr w:rsidR="00FC693F" w:rsidRPr="0006063C" w:rsidSect="00034616">
      <w:headerReference w:type="default" r:id="rId9"/>
      <w:footerReference w:type="default" r:id="rId10"/>
      <w:pgSz w:w="12240" w:h="15840"/>
      <w:pgMar w:top="936" w:right="1037" w:bottom="893"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actigy.com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b/>
        <w:color w:val="000000"/>
        <w:sz w:val="16"/>
      </w:rPr>
      <w:t>ACTIGY BPO  |  EDITABLE OPERATING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14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val="0"/>
      <w:bCs/>
      <w:color w:val="4D587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ctigy.com/resources/medical-billing-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Actigy BPO Medical Billing Claim Control Log</dc:title>
  <dc:subject>EDITABLE OPERATING TEMPLATE</dc:subject>
  <dc:creator>Actigy BPO</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