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Actigy BPO Revenue Cycle KPI Scorecard</w:t>
      </w:r>
    </w:p>
    <w:p>
      <w:pPr>
        <w:pStyle w:val="Subtitle"/>
      </w:pPr>
      <w:r>
        <w:t>Editable template with a worked example</w:t>
      </w:r>
    </w:p>
    <w:p>
      <w:r>
        <w:t>Define each metric before comparing results. Reconcile these working definitions with the organization’s reporting and accounting policies. Use consistent populations, periods, and netting rules.</w:t>
      </w:r>
    </w:p>
    <w:p>
      <w:r>
        <w:t xml:space="preserve">Companion guide: </w:t>
      </w:r>
      <w:hyperlink r:id="rId11">
        <w:r>
          <w:rPr>
            <w:color w:val="3340C7"/>
            <w:u w:val="single"/>
          </w:rPr>
          <w:t>Actigy BPO Revenue Cycle KPI Scorecard</w:t>
        </w:r>
      </w:hyperlink>
      <w:r>
        <w:t>. Evidence checked 18 October 2026. Original Actigy BPO tool. Reuse with attribution to the guide.</w:t>
      </w:r>
    </w:p>
    <w:p>
      <w:pPr>
        <w:spacing w:after="220"/>
      </w:pPr>
      <w:r>
        <w:t>Organization and reporting owner: __________________________________________________</w:t>
      </w:r>
    </w:p>
    <w:p>
      <w:pPr>
        <w:spacing w:after="220"/>
      </w:pPr>
      <w:r>
        <w:t>Reporting cutoff and data systems: __________________________________________________</w:t>
      </w:r>
    </w:p>
    <w:p>
      <w:pPr>
        <w:pStyle w:val="Heading1"/>
      </w:pPr>
      <w:r>
        <w:t>Six measures to define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024"/>
        <w:gridCol w:w="7142"/>
      </w:tblGrid>
      <w:tr>
        <w:trPr>
          <w:cantSplit/>
          <w:tblHeader w:val="true"/>
        </w:trPr>
        <w:tc>
          <w:tcPr>
            <w:tcW w:type="dxa" w:w="3024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7142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Starting definition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First-pass acceptance</w:t>
            </w:r>
          </w:p>
        </w:tc>
        <w:tc>
          <w:tcPr>
            <w:tcW w:type="dxa" w:w="7142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Initial claims accepted without correction at a named checkpoint / initial claims submitted to it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Initial denial rate</w:t>
            </w:r>
          </w:p>
        </w:tc>
        <w:tc>
          <w:tcPr>
            <w:tcW w:type="dxa" w:w="714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Claims initially denied / initially adjudicated claims in a defined cohort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Net days in AR</w:t>
            </w:r>
          </w:p>
        </w:tc>
        <w:tc>
          <w:tcPr>
            <w:tcW w:type="dxa" w:w="7142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Net accounts receivable / average daily net patient service revenue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Aged receivables share</w:t>
            </w:r>
          </w:p>
        </w:tc>
        <w:tc>
          <w:tcPr>
            <w:tcW w:type="dxa" w:w="714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Receivable dollars above a selected age / total receivable dollars on the same basis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Follow-up timeliness</w:t>
            </w:r>
          </w:p>
        </w:tc>
        <w:tc>
          <w:tcPr>
            <w:tcW w:type="dxa" w:w="7142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Eligible items acted on within the agreed window / eligible items due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Cost per resolved account</w:t>
            </w:r>
          </w:p>
        </w:tc>
        <w:tc>
          <w:tcPr>
            <w:tcW w:type="dxa" w:w="714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Defined operating cost / accounts meeting the resolution criterion</w:t>
            </w:r>
          </w:p>
        </w:tc>
      </w:tr>
    </w:tbl>
    <w:p>
      <w:pPr>
        <w:spacing w:after="40"/>
      </w:pPr>
    </w:p>
    <w:p>
      <w:pPr>
        <w:spacing w:after="140"/>
      </w:pPr>
      <w:r>
        <w:t>These are working definitions, not universal benchmarks or a claim of HFMA MAP equivalence. Set local thresholds after validating the data and case mix.</w:t>
      </w:r>
    </w:p>
    <w:p>
      <w:r>
        <w:br w:type="page"/>
      </w:r>
    </w:p>
    <w:p>
      <w:pPr>
        <w:pStyle w:val="Heading1"/>
      </w:pPr>
      <w:r>
        <w:t>Reusable metric definition record</w:t>
      </w:r>
    </w:p>
    <w:p>
      <w:pPr>
        <w:spacing w:after="220"/>
      </w:pPr>
      <w:r>
        <w:t>Metric name and accountable owner: __________________________________________________</w:t>
      </w:r>
    </w:p>
    <w:p>
      <w:pPr>
        <w:spacing w:after="220"/>
      </w:pPr>
      <w:r>
        <w:t>Business question it answers: __________________________________________________</w:t>
      </w:r>
    </w:p>
    <w:p>
      <w:pPr>
        <w:spacing w:after="220"/>
      </w:pPr>
      <w:r>
        <w:t>Population and unit of work: __________________________________________________</w:t>
      </w:r>
    </w:p>
    <w:p>
      <w:pPr>
        <w:spacing w:after="220"/>
      </w:pPr>
      <w:r>
        <w:t>Numerator: __________________________________________________</w:t>
      </w:r>
    </w:p>
    <w:p>
      <w:pPr>
        <w:spacing w:after="220"/>
      </w:pPr>
      <w:r>
        <w:t>Denominator: __________________________________________________</w:t>
      </w:r>
    </w:p>
    <w:p>
      <w:pPr>
        <w:spacing w:after="220"/>
      </w:pPr>
      <w:r>
        <w:t>Measurement period and cutoff: __________________________________________________</w:t>
      </w:r>
    </w:p>
    <w:p>
      <w:pPr>
        <w:spacing w:after="220"/>
      </w:pPr>
      <w:r>
        <w:t>Inclusions and exclusions: __________________________________________________</w:t>
      </w:r>
    </w:p>
    <w:p>
      <w:pPr>
        <w:spacing w:after="220"/>
      </w:pPr>
      <w:r>
        <w:t>Source system and extraction version: __________________________________________________</w:t>
      </w:r>
    </w:p>
    <w:p>
      <w:pPr>
        <w:spacing w:after="220"/>
      </w:pPr>
      <w:r>
        <w:t>Calculation and reconciliation check: __________________________________________________</w:t>
      </w:r>
    </w:p>
    <w:p>
      <w:pPr>
        <w:spacing w:after="220"/>
      </w:pPr>
      <w:r>
        <w:t>Local threshold and rationale: __________________________________________________</w:t>
      </w:r>
    </w:p>
    <w:p>
      <w:pPr>
        <w:spacing w:after="220"/>
      </w:pPr>
      <w:r>
        <w:t>Known limitations or comparability changes: __________________________________________________</w:t>
      </w:r>
    </w:p>
    <w:p>
      <w:pPr>
        <w:spacing w:after="140"/>
      </w:pPr>
      <w:r>
        <w:t>Worked example with fictional values: US$2.7 million net patient service revenue / 90 days = US$30,000 daily revenue. US$900,000 net AR / US$30,000 = 30 net days in AR. Keep both inputs and the period visible.</w:t>
      </w:r>
    </w:p>
    <w:p>
      <w:r>
        <w:br w:type="page"/>
      </w:r>
    </w:p>
    <w:p>
      <w:pPr>
        <w:pStyle w:val="Heading1"/>
      </w:pPr>
      <w:r>
        <w:t>Weekly review and action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880"/>
        <w:gridCol w:w="1800"/>
        <w:gridCol w:w="2160"/>
        <w:gridCol w:w="3326"/>
      </w:tblGrid>
      <w:tr>
        <w:trPr>
          <w:cantSplit/>
          <w:tblHeader w:val="true"/>
        </w:trPr>
        <w:tc>
          <w:tcPr>
            <w:tcW w:type="dxa" w:w="2880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Metric</w:t>
            </w:r>
          </w:p>
        </w:tc>
        <w:tc>
          <w:tcPr>
            <w:tcW w:type="dxa" w:w="1800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Current value</w:t>
            </w:r>
          </w:p>
        </w:tc>
        <w:tc>
          <w:tcPr>
            <w:tcW w:type="dxa" w:w="2160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Prior comparable value</w:t>
            </w:r>
          </w:p>
        </w:tc>
        <w:tc>
          <w:tcPr>
            <w:tcW w:type="dxa" w:w="3326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Explanation or action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First-pass acceptance</w:t>
            </w:r>
          </w:p>
        </w:tc>
        <w:tc>
          <w:tcPr>
            <w:tcW w:type="dxa" w:w="180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216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326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Initial denial rate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3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Net days in AR</w:t>
            </w:r>
          </w:p>
        </w:tc>
        <w:tc>
          <w:tcPr>
            <w:tcW w:type="dxa" w:w="180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216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326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Aged receivables share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3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Follow-up timeliness</w:t>
            </w:r>
          </w:p>
        </w:tc>
        <w:tc>
          <w:tcPr>
            <w:tcW w:type="dxa" w:w="180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216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326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Cost per resolved account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32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pPr>
        <w:spacing w:after="220"/>
      </w:pPr>
      <w:r>
        <w:t>Reporting changes or case-mix changes: __________________________________________________</w:t>
      </w:r>
    </w:p>
    <w:p>
      <w:pPr>
        <w:spacing w:after="220"/>
      </w:pPr>
      <w:r>
        <w:t>Sample reviewed and evidence reference: __________________________________________________</w:t>
      </w:r>
    </w:p>
    <w:p>
      <w:pPr>
        <w:spacing w:after="220"/>
      </w:pPr>
      <w:r>
        <w:t>Priority issue and likely cause: __________________________________________________</w:t>
      </w:r>
    </w:p>
    <w:p>
      <w:pPr>
        <w:spacing w:after="220"/>
      </w:pPr>
      <w:r>
        <w:t>Action owner and due date: __________________________________________________</w:t>
      </w:r>
    </w:p>
    <w:p>
      <w:pPr>
        <w:spacing w:after="220"/>
      </w:pPr>
      <w:r>
        <w:t>Evidence expected at next review: __________________________________________________</w:t>
      </w:r>
    </w:p>
    <w:p>
      <w:pPr>
        <w:spacing w:after="220"/>
      </w:pPr>
      <w:r>
        <w:t>Outcome and unresolved follow-up: __________________________________________________</w:t>
      </w:r>
    </w:p>
    <w:p>
      <w:pPr>
        <w:spacing w:after="140"/>
      </w:pPr>
      <w:r>
        <w:t>A rate change is not automatically a process improvement. Check definitions, denominators, payer mix, and underlying records before attributing cause.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893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actigy.com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b/>
        <w:color w:val="000000"/>
        <w:sz w:val="16"/>
      </w:rPr>
      <w:t>ACTIGY BPO  |  EDITABLE OPERATING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4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 w:val="0"/>
      <w:bCs/>
      <w:color w:val="4D587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ctigy.com/resources/revenue-cycle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Actigy BPO Revenue Cycle KPI Scorecard</dc:title>
  <dc:subject>EDITABLE OPERATING TEMPLATE</dc:subject>
  <dc:creator>Actigy BPO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