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Actigy BPO Medical Billing and Coding Handoff Matrix</w:t>
      </w:r>
    </w:p>
    <w:p>
      <w:pPr>
        <w:pStyle w:val="Subtitle"/>
      </w:pPr>
      <w:r>
        <w:t>Editable template with a worked example</w:t>
      </w:r>
    </w:p>
    <w:p>
      <w:r>
        <w:t>Use this matrix to agree what each team receives, checks, and returns. Adapt it to the specialty, systems, and approved procedures. Use authorized record references rather than patient details.</w:t>
      </w:r>
    </w:p>
    <w:p>
      <w:r>
        <w:t xml:space="preserve">Companion guide: </w:t>
      </w:r>
      <w:hyperlink r:id="rId11">
        <w:r>
          <w:rPr>
            <w:color w:val="3340C7"/>
            <w:u w:val="single"/>
          </w:rPr>
          <w:t>Actigy BPO Medical Billing and Coding Handoff Matrix</w:t>
        </w:r>
      </w:hyperlink>
      <w:r>
        <w:t>. Evidence checked 18 October 2026. Original Actigy BPO tool. Reuse with attribution to the guide.</w:t>
      </w:r>
    </w:p>
    <w:p>
      <w:pPr>
        <w:spacing w:after="220"/>
      </w:pPr>
      <w:r>
        <w:t>Organization and specialty: __________________________________________________</w:t>
      </w:r>
    </w:p>
    <w:p>
      <w:pPr>
        <w:spacing w:after="220"/>
      </w:pPr>
      <w:r>
        <w:t>Systems and policy version: __________________________________________________</w:t>
      </w:r>
    </w:p>
    <w:p>
      <w:pPr>
        <w:spacing w:after="220"/>
      </w:pPr>
      <w:r>
        <w:t>Process owner and review date: __________________________________________________</w:t>
      </w:r>
    </w:p>
    <w:p>
      <w:pPr>
        <w:pStyle w:val="Heading1"/>
      </w:pPr>
      <w:r>
        <w:t>Six handoffs to define</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2880"/>
        <w:gridCol w:w="5256"/>
        <w:gridCol w:w="2030"/>
      </w:tblGrid>
      <w:tr>
        <w:trPr>
          <w:cantSplit/>
          <w:tblHeader w:val="true"/>
        </w:trPr>
        <w:tc>
          <w:tcPr>
            <w:tcW w:type="dxa" w:w="2880"/>
            <w:vAlign w:val="center"/>
            <w:shd w:fill="1A2150"/>
            <w:tcMar>
              <w:top w:w="90" w:type="dxa"/>
              <w:left w:w="90" w:type="dxa"/>
              <w:bottom w:w="90" w:type="dxa"/>
              <w:right w:w="90" w:type="dxa"/>
            </w:tcMar>
          </w:tcPr>
          <w:p>
            <w:pPr>
              <w:spacing w:after="60" w:before="60" w:line="254" w:lineRule="auto"/>
            </w:pPr>
            <w:r>
              <w:rPr>
                <w:b/>
                <w:color w:val="FFFFFF"/>
                <w:sz w:val="18"/>
              </w:rPr>
              <w:t>Handoff</w:t>
            </w:r>
          </w:p>
        </w:tc>
        <w:tc>
          <w:tcPr>
            <w:tcW w:type="dxa" w:w="5256"/>
            <w:vAlign w:val="center"/>
            <w:shd w:fill="1A2150"/>
            <w:tcMar>
              <w:top w:w="90" w:type="dxa"/>
              <w:left w:w="90" w:type="dxa"/>
              <w:bottom w:w="90" w:type="dxa"/>
              <w:right w:w="90" w:type="dxa"/>
            </w:tcMar>
          </w:tcPr>
          <w:p>
            <w:pPr>
              <w:spacing w:after="60" w:before="60" w:line="254" w:lineRule="auto"/>
            </w:pPr>
            <w:r>
              <w:rPr>
                <w:b/>
                <w:color w:val="FFFFFF"/>
                <w:sz w:val="18"/>
              </w:rPr>
              <w:t>Starting acceptance check</w:t>
            </w:r>
          </w:p>
        </w:tc>
        <w:tc>
          <w:tcPr>
            <w:tcW w:type="dxa" w:w="2030"/>
            <w:vAlign w:val="center"/>
            <w:shd w:fill="1A2150"/>
            <w:tcMar>
              <w:top w:w="90" w:type="dxa"/>
              <w:left w:w="90" w:type="dxa"/>
              <w:bottom w:w="90" w:type="dxa"/>
              <w:right w:w="90" w:type="dxa"/>
            </w:tcMar>
          </w:tcPr>
          <w:p>
            <w:pPr>
              <w:spacing w:after="60" w:before="60" w:line="254" w:lineRule="auto"/>
            </w:pPr>
            <w:r>
              <w:rPr>
                <w:b/>
                <w:color w:val="FFFFFF"/>
                <w:sz w:val="18"/>
              </w:rPr>
              <w:t>Assigned owner</w:t>
            </w:r>
          </w:p>
        </w:tc>
      </w:tr>
      <w:tr>
        <w:trPr>
          <w:cantSplit/>
        </w:trPr>
        <w:tc>
          <w:tcPr>
            <w:tcW w:type="dxa" w:w="2880"/>
            <w:vAlign w:val="center"/>
            <w:shd w:fill="F5F7FC"/>
            <w:tcMar>
              <w:top w:w="90" w:type="dxa"/>
              <w:left w:w="90" w:type="dxa"/>
              <w:bottom w:w="90" w:type="dxa"/>
              <w:right w:w="90" w:type="dxa"/>
            </w:tcMar>
          </w:tcPr>
          <w:p>
            <w:pPr>
              <w:spacing w:after="60" w:before="60" w:line="254" w:lineRule="auto"/>
            </w:pPr>
            <w:r>
              <w:rPr>
                <w:b w:val="0"/>
                <w:color w:val="141A2E"/>
                <w:sz w:val="18"/>
              </w:rPr>
              <w:t>Scheduling to registration</w:t>
            </w:r>
          </w:p>
        </w:tc>
        <w:tc>
          <w:tcPr>
            <w:tcW w:type="dxa" w:w="5256"/>
            <w:vAlign w:val="center"/>
            <w:shd w:fill="F5F7FC"/>
            <w:tcMar>
              <w:top w:w="90" w:type="dxa"/>
              <w:left w:w="90" w:type="dxa"/>
              <w:bottom w:w="90" w:type="dxa"/>
              <w:right w:w="90" w:type="dxa"/>
            </w:tcMar>
          </w:tcPr>
          <w:p>
            <w:pPr>
              <w:spacing w:after="60" w:before="60" w:line="254" w:lineRule="auto"/>
            </w:pPr>
            <w:r>
              <w:rPr>
                <w:b w:val="0"/>
                <w:color w:val="141A2E"/>
                <w:sz w:val="18"/>
              </w:rPr>
              <w:t>Required patient and appointment information available</w:t>
            </w:r>
          </w:p>
        </w:tc>
        <w:tc>
          <w:tcPr>
            <w:tcW w:type="dxa" w:w="2030"/>
            <w:vAlign w:val="center"/>
            <w:shd w:fill="F5F7FC"/>
            <w:tcMar>
              <w:top w:w="90" w:type="dxa"/>
              <w:left w:w="90" w:type="dxa"/>
              <w:bottom w:w="90" w:type="dxa"/>
              <w:right w:w="90" w:type="dxa"/>
            </w:tcMar>
          </w:tcPr>
          <w:p>
            <w:pPr>
              <w:spacing w:after="60" w:before="60" w:line="254" w:lineRule="auto"/>
            </w:pPr>
            <w:r>
              <w:rPr>
                <w:b w:val="0"/>
                <w:color w:val="141A2E"/>
                <w:sz w:val="18"/>
              </w:rPr>
              <w:t>________</w:t>
            </w:r>
          </w:p>
        </w:tc>
      </w:tr>
      <w:tr>
        <w:trPr>
          <w:cantSplit/>
        </w:trPr>
        <w:tc>
          <w:tcPr>
            <w:tcW w:type="dxa" w:w="2880"/>
            <w:vAlign w:val="center"/>
            <w:shd w:fill="FFFFFF"/>
            <w:tcMar>
              <w:top w:w="90" w:type="dxa"/>
              <w:left w:w="90" w:type="dxa"/>
              <w:bottom w:w="90" w:type="dxa"/>
              <w:right w:w="90" w:type="dxa"/>
            </w:tcMar>
          </w:tcPr>
          <w:p>
            <w:pPr>
              <w:spacing w:after="60" w:before="60" w:line="254" w:lineRule="auto"/>
            </w:pPr>
            <w:r>
              <w:rPr>
                <w:b w:val="0"/>
                <w:color w:val="141A2E"/>
                <w:sz w:val="18"/>
              </w:rPr>
              <w:t>Registration to eligibility</w:t>
            </w:r>
          </w:p>
        </w:tc>
        <w:tc>
          <w:tcPr>
            <w:tcW w:type="dxa" w:w="5256"/>
            <w:vAlign w:val="center"/>
            <w:shd w:fill="FFFFFF"/>
            <w:tcMar>
              <w:top w:w="90" w:type="dxa"/>
              <w:left w:w="90" w:type="dxa"/>
              <w:bottom w:w="90" w:type="dxa"/>
              <w:right w:w="90" w:type="dxa"/>
            </w:tcMar>
          </w:tcPr>
          <w:p>
            <w:pPr>
              <w:spacing w:after="60" w:before="60" w:line="254" w:lineRule="auto"/>
            </w:pPr>
            <w:r>
              <w:rPr>
                <w:b w:val="0"/>
                <w:color w:val="141A2E"/>
                <w:sz w:val="18"/>
              </w:rPr>
              <w:t>Coverage details and service date available</w:t>
            </w:r>
          </w:p>
        </w:tc>
        <w:tc>
          <w:tcPr>
            <w:tcW w:type="dxa" w:w="2030"/>
            <w:vAlign w:val="center"/>
            <w:shd w:fill="FFFFFF"/>
            <w:tcMar>
              <w:top w:w="90" w:type="dxa"/>
              <w:left w:w="90" w:type="dxa"/>
              <w:bottom w:w="90" w:type="dxa"/>
              <w:right w:w="90" w:type="dxa"/>
            </w:tcMar>
          </w:tcPr>
          <w:p>
            <w:pPr>
              <w:spacing w:after="60" w:before="60" w:line="254" w:lineRule="auto"/>
            </w:pPr>
            <w:r>
              <w:rPr>
                <w:b w:val="0"/>
                <w:color w:val="141A2E"/>
                <w:sz w:val="18"/>
              </w:rPr>
              <w:t>________</w:t>
            </w:r>
          </w:p>
        </w:tc>
      </w:tr>
      <w:tr>
        <w:trPr>
          <w:cantSplit/>
        </w:trPr>
        <w:tc>
          <w:tcPr>
            <w:tcW w:type="dxa" w:w="2880"/>
            <w:vAlign w:val="center"/>
            <w:shd w:fill="F5F7FC"/>
            <w:tcMar>
              <w:top w:w="90" w:type="dxa"/>
              <w:left w:w="90" w:type="dxa"/>
              <w:bottom w:w="90" w:type="dxa"/>
              <w:right w:w="90" w:type="dxa"/>
            </w:tcMar>
          </w:tcPr>
          <w:p>
            <w:pPr>
              <w:spacing w:after="60" w:before="60" w:line="254" w:lineRule="auto"/>
            </w:pPr>
            <w:r>
              <w:rPr>
                <w:b w:val="0"/>
                <w:color w:val="141A2E"/>
                <w:sz w:val="18"/>
              </w:rPr>
              <w:t>Documentation to coding</w:t>
            </w:r>
          </w:p>
        </w:tc>
        <w:tc>
          <w:tcPr>
            <w:tcW w:type="dxa" w:w="5256"/>
            <w:vAlign w:val="center"/>
            <w:shd w:fill="F5F7FC"/>
            <w:tcMar>
              <w:top w:w="90" w:type="dxa"/>
              <w:left w:w="90" w:type="dxa"/>
              <w:bottom w:w="90" w:type="dxa"/>
              <w:right w:w="90" w:type="dxa"/>
            </w:tcMar>
          </w:tcPr>
          <w:p>
            <w:pPr>
              <w:spacing w:after="60" w:before="60" w:line="254" w:lineRule="auto"/>
            </w:pPr>
            <w:r>
              <w:rPr>
                <w:b w:val="0"/>
                <w:color w:val="141A2E"/>
                <w:sz w:val="18"/>
              </w:rPr>
              <w:t>Relevant clinical record available under policy</w:t>
            </w:r>
          </w:p>
        </w:tc>
        <w:tc>
          <w:tcPr>
            <w:tcW w:type="dxa" w:w="2030"/>
            <w:vAlign w:val="center"/>
            <w:shd w:fill="F5F7FC"/>
            <w:tcMar>
              <w:top w:w="90" w:type="dxa"/>
              <w:left w:w="90" w:type="dxa"/>
              <w:bottom w:w="90" w:type="dxa"/>
              <w:right w:w="90" w:type="dxa"/>
            </w:tcMar>
          </w:tcPr>
          <w:p>
            <w:pPr>
              <w:spacing w:after="60" w:before="60" w:line="254" w:lineRule="auto"/>
            </w:pPr>
            <w:r>
              <w:rPr>
                <w:b w:val="0"/>
                <w:color w:val="141A2E"/>
                <w:sz w:val="18"/>
              </w:rPr>
              <w:t>________</w:t>
            </w:r>
          </w:p>
        </w:tc>
      </w:tr>
      <w:tr>
        <w:trPr>
          <w:cantSplit/>
        </w:trPr>
        <w:tc>
          <w:tcPr>
            <w:tcW w:type="dxa" w:w="2880"/>
            <w:vAlign w:val="center"/>
            <w:shd w:fill="FFFFFF"/>
            <w:tcMar>
              <w:top w:w="90" w:type="dxa"/>
              <w:left w:w="90" w:type="dxa"/>
              <w:bottom w:w="90" w:type="dxa"/>
              <w:right w:w="90" w:type="dxa"/>
            </w:tcMar>
          </w:tcPr>
          <w:p>
            <w:pPr>
              <w:spacing w:after="60" w:before="60" w:line="254" w:lineRule="auto"/>
            </w:pPr>
            <w:r>
              <w:rPr>
                <w:b w:val="0"/>
                <w:color w:val="141A2E"/>
                <w:sz w:val="18"/>
              </w:rPr>
              <w:t>Coding to claim preparation</w:t>
            </w:r>
          </w:p>
        </w:tc>
        <w:tc>
          <w:tcPr>
            <w:tcW w:type="dxa" w:w="5256"/>
            <w:vAlign w:val="center"/>
            <w:shd w:fill="FFFFFF"/>
            <w:tcMar>
              <w:top w:w="90" w:type="dxa"/>
              <w:left w:w="90" w:type="dxa"/>
              <w:bottom w:w="90" w:type="dxa"/>
              <w:right w:w="90" w:type="dxa"/>
            </w:tcMar>
          </w:tcPr>
          <w:p>
            <w:pPr>
              <w:spacing w:after="60" w:before="60" w:line="254" w:lineRule="auto"/>
            </w:pPr>
            <w:r>
              <w:rPr>
                <w:b w:val="0"/>
                <w:color w:val="141A2E"/>
                <w:sz w:val="18"/>
              </w:rPr>
              <w:t>Supported codes and material query status recorded</w:t>
            </w:r>
          </w:p>
        </w:tc>
        <w:tc>
          <w:tcPr>
            <w:tcW w:type="dxa" w:w="2030"/>
            <w:vAlign w:val="center"/>
            <w:shd w:fill="FFFFFF"/>
            <w:tcMar>
              <w:top w:w="90" w:type="dxa"/>
              <w:left w:w="90" w:type="dxa"/>
              <w:bottom w:w="90" w:type="dxa"/>
              <w:right w:w="90" w:type="dxa"/>
            </w:tcMar>
          </w:tcPr>
          <w:p>
            <w:pPr>
              <w:spacing w:after="60" w:before="60" w:line="254" w:lineRule="auto"/>
            </w:pPr>
            <w:r>
              <w:rPr>
                <w:b w:val="0"/>
                <w:color w:val="141A2E"/>
                <w:sz w:val="18"/>
              </w:rPr>
              <w:t>________</w:t>
            </w:r>
          </w:p>
        </w:tc>
      </w:tr>
      <w:tr>
        <w:trPr>
          <w:cantSplit/>
        </w:trPr>
        <w:tc>
          <w:tcPr>
            <w:tcW w:type="dxa" w:w="2880"/>
            <w:vAlign w:val="center"/>
            <w:shd w:fill="F5F7FC"/>
            <w:tcMar>
              <w:top w:w="90" w:type="dxa"/>
              <w:left w:w="90" w:type="dxa"/>
              <w:bottom w:w="90" w:type="dxa"/>
              <w:right w:w="90" w:type="dxa"/>
            </w:tcMar>
          </w:tcPr>
          <w:p>
            <w:pPr>
              <w:keepNext/>
              <w:spacing w:after="60" w:before="60" w:line="254" w:lineRule="auto"/>
            </w:pPr>
            <w:r>
              <w:rPr>
                <w:b w:val="0"/>
                <w:color w:val="141A2E"/>
                <w:sz w:val="18"/>
              </w:rPr>
              <w:t>Submission to follow-up</w:t>
            </w:r>
          </w:p>
        </w:tc>
        <w:tc>
          <w:tcPr>
            <w:tcW w:type="dxa" w:w="5256"/>
            <w:vAlign w:val="center"/>
            <w:shd w:fill="F5F7FC"/>
            <w:tcMar>
              <w:top w:w="90" w:type="dxa"/>
              <w:left w:w="90" w:type="dxa"/>
              <w:bottom w:w="90" w:type="dxa"/>
              <w:right w:w="90" w:type="dxa"/>
            </w:tcMar>
          </w:tcPr>
          <w:p>
            <w:pPr>
              <w:keepNext/>
              <w:spacing w:after="60" w:before="60" w:line="254" w:lineRule="auto"/>
            </w:pPr>
            <w:r>
              <w:rPr>
                <w:b w:val="0"/>
                <w:color w:val="141A2E"/>
                <w:sz w:val="18"/>
              </w:rPr>
              <w:t>Transmission and response evidence traceable</w:t>
            </w:r>
          </w:p>
        </w:tc>
        <w:tc>
          <w:tcPr>
            <w:tcW w:type="dxa" w:w="2030"/>
            <w:vAlign w:val="center"/>
            <w:shd w:fill="F5F7FC"/>
            <w:tcMar>
              <w:top w:w="90" w:type="dxa"/>
              <w:left w:w="90" w:type="dxa"/>
              <w:bottom w:w="90" w:type="dxa"/>
              <w:right w:w="90" w:type="dxa"/>
            </w:tcMar>
          </w:tcPr>
          <w:p>
            <w:pPr>
              <w:keepNext/>
              <w:spacing w:after="60" w:before="60" w:line="254" w:lineRule="auto"/>
            </w:pPr>
            <w:r>
              <w:rPr>
                <w:b w:val="0"/>
                <w:color w:val="141A2E"/>
                <w:sz w:val="18"/>
              </w:rPr>
              <w:t>________</w:t>
            </w:r>
          </w:p>
        </w:tc>
      </w:tr>
      <w:tr>
        <w:trPr>
          <w:cantSplit/>
        </w:trPr>
        <w:tc>
          <w:tcPr>
            <w:tcW w:type="dxa" w:w="2880"/>
            <w:vAlign w:val="center"/>
            <w:shd w:fill="FFFFFF"/>
            <w:tcMar>
              <w:top w:w="90" w:type="dxa"/>
              <w:left w:w="90" w:type="dxa"/>
              <w:bottom w:w="90" w:type="dxa"/>
              <w:right w:w="90" w:type="dxa"/>
            </w:tcMar>
          </w:tcPr>
          <w:p>
            <w:pPr>
              <w:spacing w:after="60" w:before="60" w:line="254" w:lineRule="auto"/>
            </w:pPr>
            <w:r>
              <w:rPr>
                <w:b w:val="0"/>
                <w:color w:val="141A2E"/>
                <w:sz w:val="18"/>
              </w:rPr>
              <w:t>Posting to resolution</w:t>
            </w:r>
          </w:p>
        </w:tc>
        <w:tc>
          <w:tcPr>
            <w:tcW w:type="dxa" w:w="5256"/>
            <w:vAlign w:val="center"/>
            <w:shd w:fill="FFFFFF"/>
            <w:tcMar>
              <w:top w:w="90" w:type="dxa"/>
              <w:left w:w="90" w:type="dxa"/>
              <w:bottom w:w="90" w:type="dxa"/>
              <w:right w:w="90" w:type="dxa"/>
            </w:tcMar>
          </w:tcPr>
          <w:p>
            <w:pPr>
              <w:spacing w:after="60" w:before="60" w:line="254" w:lineRule="auto"/>
            </w:pPr>
            <w:r>
              <w:rPr>
                <w:b w:val="0"/>
                <w:color w:val="141A2E"/>
                <w:sz w:val="18"/>
              </w:rPr>
              <w:t>Remittance, adjustments, and balance reconcile</w:t>
            </w:r>
          </w:p>
        </w:tc>
        <w:tc>
          <w:tcPr>
            <w:tcW w:type="dxa" w:w="2030"/>
            <w:vAlign w:val="center"/>
            <w:shd w:fill="FFFFFF"/>
            <w:tcMar>
              <w:top w:w="90" w:type="dxa"/>
              <w:left w:w="90" w:type="dxa"/>
              <w:bottom w:w="90" w:type="dxa"/>
              <w:right w:w="90" w:type="dxa"/>
            </w:tcMar>
          </w:tcPr>
          <w:p>
            <w:pPr>
              <w:spacing w:after="60" w:before="60" w:line="254" w:lineRule="auto"/>
            </w:pPr>
            <w:r>
              <w:rPr>
                <w:b w:val="0"/>
                <w:color w:val="141A2E"/>
                <w:sz w:val="18"/>
              </w:rPr>
              <w:t>________</w:t>
            </w:r>
          </w:p>
        </w:tc>
      </w:tr>
    </w:tbl>
    <w:p>
      <w:pPr>
        <w:spacing w:after="40"/>
      </w:pPr>
    </w:p>
    <w:p>
      <w:pPr>
        <w:spacing w:after="140"/>
      </w:pPr>
      <w:r>
        <w:t>Complete one record on the next page for each handoff. Add specialty-specific checks where needed. A blank field is not an approved exception.</w:t>
      </w:r>
    </w:p>
    <w:p>
      <w:r>
        <w:br w:type="page"/>
      </w:r>
    </w:p>
    <w:p>
      <w:pPr>
        <w:pStyle w:val="Heading1"/>
      </w:pPr>
      <w:r>
        <w:t>Reusable handoff record</w:t>
      </w:r>
    </w:p>
    <w:p>
      <w:pPr>
        <w:spacing w:after="220"/>
      </w:pPr>
      <w:r>
        <w:t>Handoff and queue reference: __________________________________________________</w:t>
      </w:r>
    </w:p>
    <w:p>
      <w:pPr>
        <w:spacing w:after="220"/>
      </w:pPr>
      <w:r>
        <w:t>Sending team and named owner: __________________________________________________</w:t>
      </w:r>
    </w:p>
    <w:p>
      <w:pPr>
        <w:spacing w:after="220"/>
      </w:pPr>
      <w:r>
        <w:t>Receiving team and named owner: __________________________________________________</w:t>
      </w:r>
    </w:p>
    <w:p>
      <w:pPr>
        <w:spacing w:after="220"/>
      </w:pPr>
      <w:r>
        <w:t>Required input and approved record location: __________________________________________________</w:t>
      </w:r>
    </w:p>
    <w:p>
      <w:pPr>
        <w:spacing w:after="220"/>
      </w:pPr>
      <w:r>
        <w:t>Acceptance check and reviewer: __________________________________________________</w:t>
      </w:r>
    </w:p>
    <w:p>
      <w:pPr>
        <w:spacing w:after="220"/>
      </w:pPr>
      <w:r>
        <w:t>Evidence reference and date: __________________________________________________</w:t>
      </w:r>
    </w:p>
    <w:p>
      <w:pPr>
        <w:spacing w:after="220"/>
      </w:pPr>
      <w:r>
        <w:t>Return reason if incomplete: __________________________________________________</w:t>
      </w:r>
    </w:p>
    <w:p>
      <w:pPr>
        <w:spacing w:after="220"/>
      </w:pPr>
      <w:r>
        <w:t>Next action and authorized owner: __________________________________________________</w:t>
      </w:r>
    </w:p>
    <w:p>
      <w:pPr>
        <w:spacing w:after="220"/>
      </w:pPr>
      <w:r>
        <w:t>Due date and escalation route: __________________________________________________</w:t>
      </w:r>
    </w:p>
    <w:p>
      <w:pPr>
        <w:spacing w:after="220"/>
      </w:pPr>
      <w:r>
        <w:t>Acceptance or exception decision: __________________________________________________</w:t>
      </w:r>
    </w:p>
    <w:p>
      <w:pPr>
        <w:spacing w:after="220"/>
      </w:pPr>
      <w:r>
        <w:t>Decision evidence and closure date: __________________________________________________</w:t>
      </w:r>
    </w:p>
    <w:p>
      <w:pPr>
        <w:spacing w:after="140"/>
      </w:pPr>
      <w:r>
        <w:t>Status choices: Ready / Returned / Pending / Escalated / Accepted. Define what each status permits in your workflow. Record any authorized exception separately.</w:t>
      </w:r>
    </w:p>
    <w:p>
      <w:r>
        <w:br w:type="page"/>
      </w:r>
    </w:p>
    <w:p>
      <w:pPr>
        <w:pStyle w:val="Heading1"/>
      </w:pPr>
      <w:r>
        <w:t>Worked example and team agreement</w:t>
      </w:r>
    </w:p>
    <w:p>
      <w:pPr>
        <w:spacing w:after="140"/>
      </w:pPr>
      <w:r>
        <w:t>Fictional example. A claim is ready for preparation, but a material coding query remains open. The coding owner records the query reference and routes it through the approved clarification process. Claim preparation receives the resolved record before the agreed release check. No code is invented to bypass the query.</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3024"/>
        <w:gridCol w:w="7142"/>
      </w:tblGrid>
      <w:tr>
        <w:trPr>
          <w:cantSplit/>
          <w:tblHeader w:val="true"/>
        </w:trPr>
        <w:tc>
          <w:tcPr>
            <w:tcW w:type="dxa" w:w="3024"/>
            <w:vAlign w:val="center"/>
            <w:shd w:fill="1A2150"/>
            <w:tcMar>
              <w:top w:w="90" w:type="dxa"/>
              <w:left w:w="90" w:type="dxa"/>
              <w:bottom w:w="90" w:type="dxa"/>
              <w:right w:w="90" w:type="dxa"/>
            </w:tcMar>
          </w:tcPr>
          <w:p>
            <w:pPr>
              <w:spacing w:after="60" w:before="60" w:line="254" w:lineRule="auto"/>
            </w:pPr>
            <w:r>
              <w:rPr>
                <w:b/>
                <w:color w:val="FFFFFF"/>
                <w:sz w:val="18"/>
              </w:rPr>
              <w:t>Field</w:t>
            </w:r>
          </w:p>
        </w:tc>
        <w:tc>
          <w:tcPr>
            <w:tcW w:type="dxa" w:w="7142"/>
            <w:vAlign w:val="center"/>
            <w:shd w:fill="1A2150"/>
            <w:tcMar>
              <w:top w:w="90" w:type="dxa"/>
              <w:left w:w="90" w:type="dxa"/>
              <w:bottom w:w="90" w:type="dxa"/>
              <w:right w:w="90" w:type="dxa"/>
            </w:tcMar>
          </w:tcPr>
          <w:p>
            <w:pPr>
              <w:spacing w:after="60" w:before="60" w:line="254" w:lineRule="auto"/>
            </w:pPr>
            <w:r>
              <w:rPr>
                <w:b/>
                <w:color w:val="FFFFFF"/>
                <w:sz w:val="18"/>
              </w:rPr>
              <w:t>Example entry</w:t>
            </w:r>
          </w:p>
        </w:tc>
      </w:tr>
      <w:tr>
        <w:trPr>
          <w:cantSplit/>
        </w:trPr>
        <w:tc>
          <w:tcPr>
            <w:tcW w:type="dxa" w:w="3024"/>
            <w:vAlign w:val="center"/>
            <w:shd w:fill="F5F7FC"/>
            <w:tcMar>
              <w:top w:w="90" w:type="dxa"/>
              <w:left w:w="90" w:type="dxa"/>
              <w:bottom w:w="90" w:type="dxa"/>
              <w:right w:w="90" w:type="dxa"/>
            </w:tcMar>
          </w:tcPr>
          <w:p>
            <w:pPr>
              <w:spacing w:after="60" w:before="60" w:line="254" w:lineRule="auto"/>
            </w:pPr>
            <w:r>
              <w:rPr>
                <w:b w:val="0"/>
                <w:color w:val="141A2E"/>
                <w:sz w:val="18"/>
              </w:rPr>
              <w:t>Handoff</w:t>
            </w:r>
          </w:p>
        </w:tc>
        <w:tc>
          <w:tcPr>
            <w:tcW w:type="dxa" w:w="7142"/>
            <w:vAlign w:val="center"/>
            <w:shd w:fill="F5F7FC"/>
            <w:tcMar>
              <w:top w:w="90" w:type="dxa"/>
              <w:left w:w="90" w:type="dxa"/>
              <w:bottom w:w="90" w:type="dxa"/>
              <w:right w:w="90" w:type="dxa"/>
            </w:tcMar>
          </w:tcPr>
          <w:p>
            <w:pPr>
              <w:spacing w:after="60" w:before="60" w:line="254" w:lineRule="auto"/>
            </w:pPr>
            <w:r>
              <w:rPr>
                <w:b w:val="0"/>
                <w:color w:val="141A2E"/>
                <w:sz w:val="18"/>
              </w:rPr>
              <w:t>Coding to claim preparation</w:t>
            </w:r>
          </w:p>
        </w:tc>
      </w:tr>
      <w:tr>
        <w:trPr>
          <w:cantSplit/>
        </w:trPr>
        <w:tc>
          <w:tcPr>
            <w:tcW w:type="dxa" w:w="3024"/>
            <w:vAlign w:val="center"/>
            <w:shd w:fill="FFFFFF"/>
            <w:tcMar>
              <w:top w:w="90" w:type="dxa"/>
              <w:left w:w="90" w:type="dxa"/>
              <w:bottom w:w="90" w:type="dxa"/>
              <w:right w:w="90" w:type="dxa"/>
            </w:tcMar>
          </w:tcPr>
          <w:p>
            <w:pPr>
              <w:spacing w:after="60" w:before="60" w:line="254" w:lineRule="auto"/>
            </w:pPr>
            <w:r>
              <w:rPr>
                <w:b w:val="0"/>
                <w:color w:val="141A2E"/>
                <w:sz w:val="18"/>
              </w:rPr>
              <w:t>Acceptance check</w:t>
            </w:r>
          </w:p>
        </w:tc>
        <w:tc>
          <w:tcPr>
            <w:tcW w:type="dxa" w:w="7142"/>
            <w:vAlign w:val="center"/>
            <w:shd w:fill="FFFFFF"/>
            <w:tcMar>
              <w:top w:w="90" w:type="dxa"/>
              <w:left w:w="90" w:type="dxa"/>
              <w:bottom w:w="90" w:type="dxa"/>
              <w:right w:w="90" w:type="dxa"/>
            </w:tcMar>
          </w:tcPr>
          <w:p>
            <w:pPr>
              <w:spacing w:after="60" w:before="60" w:line="254" w:lineRule="auto"/>
            </w:pPr>
            <w:r>
              <w:rPr>
                <w:b w:val="0"/>
                <w:color w:val="141A2E"/>
                <w:sz w:val="18"/>
              </w:rPr>
              <w:t>Supported coding and recorded disposition of material queries</w:t>
            </w:r>
          </w:p>
        </w:tc>
      </w:tr>
      <w:tr>
        <w:trPr>
          <w:cantSplit/>
        </w:trPr>
        <w:tc>
          <w:tcPr>
            <w:tcW w:type="dxa" w:w="3024"/>
            <w:vAlign w:val="center"/>
            <w:shd w:fill="F5F7FC"/>
            <w:tcMar>
              <w:top w:w="90" w:type="dxa"/>
              <w:left w:w="90" w:type="dxa"/>
              <w:bottom w:w="90" w:type="dxa"/>
              <w:right w:w="90" w:type="dxa"/>
            </w:tcMar>
          </w:tcPr>
          <w:p>
            <w:pPr>
              <w:spacing w:after="60" w:before="60" w:line="254" w:lineRule="auto"/>
            </w:pPr>
            <w:r>
              <w:rPr>
                <w:b w:val="0"/>
                <w:color w:val="141A2E"/>
                <w:sz w:val="18"/>
              </w:rPr>
              <w:t>Evidence</w:t>
            </w:r>
          </w:p>
        </w:tc>
        <w:tc>
          <w:tcPr>
            <w:tcW w:type="dxa" w:w="7142"/>
            <w:vAlign w:val="center"/>
            <w:shd w:fill="F5F7FC"/>
            <w:tcMar>
              <w:top w:w="90" w:type="dxa"/>
              <w:left w:w="90" w:type="dxa"/>
              <w:bottom w:w="90" w:type="dxa"/>
              <w:right w:w="90" w:type="dxa"/>
            </w:tcMar>
          </w:tcPr>
          <w:p>
            <w:pPr>
              <w:spacing w:after="60" w:before="60" w:line="254" w:lineRule="auto"/>
            </w:pPr>
            <w:r>
              <w:rPr>
                <w:b w:val="0"/>
                <w:color w:val="141A2E"/>
                <w:sz w:val="18"/>
              </w:rPr>
              <w:t>Approved encounter and query references</w:t>
            </w:r>
          </w:p>
        </w:tc>
      </w:tr>
      <w:tr>
        <w:trPr>
          <w:cantSplit/>
        </w:trPr>
        <w:tc>
          <w:tcPr>
            <w:tcW w:type="dxa" w:w="3024"/>
            <w:vAlign w:val="center"/>
            <w:shd w:fill="FFFFFF"/>
            <w:tcMar>
              <w:top w:w="90" w:type="dxa"/>
              <w:left w:w="90" w:type="dxa"/>
              <w:bottom w:w="90" w:type="dxa"/>
              <w:right w:w="90" w:type="dxa"/>
            </w:tcMar>
          </w:tcPr>
          <w:p>
            <w:pPr>
              <w:keepNext/>
              <w:spacing w:after="60" w:before="60" w:line="254" w:lineRule="auto"/>
            </w:pPr>
            <w:r>
              <w:rPr>
                <w:b w:val="0"/>
                <w:color w:val="141A2E"/>
                <w:sz w:val="18"/>
              </w:rPr>
              <w:t>Return route</w:t>
            </w:r>
          </w:p>
        </w:tc>
        <w:tc>
          <w:tcPr>
            <w:tcW w:type="dxa" w:w="7142"/>
            <w:vAlign w:val="center"/>
            <w:shd w:fill="FFFFFF"/>
            <w:tcMar>
              <w:top w:w="90" w:type="dxa"/>
              <w:left w:w="90" w:type="dxa"/>
              <w:bottom w:w="90" w:type="dxa"/>
              <w:right w:w="90" w:type="dxa"/>
            </w:tcMar>
          </w:tcPr>
          <w:p>
            <w:pPr>
              <w:keepNext/>
              <w:spacing w:after="60" w:before="60" w:line="254" w:lineRule="auto"/>
            </w:pPr>
            <w:r>
              <w:rPr>
                <w:b w:val="0"/>
                <w:color w:val="141A2E"/>
                <w:sz w:val="18"/>
              </w:rPr>
              <w:t>Coding owner to the authorized clarification process</w:t>
            </w:r>
          </w:p>
        </w:tc>
      </w:tr>
      <w:tr>
        <w:trPr>
          <w:cantSplit/>
        </w:trPr>
        <w:tc>
          <w:tcPr>
            <w:tcW w:type="dxa" w:w="3024"/>
            <w:vAlign w:val="center"/>
            <w:shd w:fill="F5F7FC"/>
            <w:tcMar>
              <w:top w:w="90" w:type="dxa"/>
              <w:left w:w="90" w:type="dxa"/>
              <w:bottom w:w="90" w:type="dxa"/>
              <w:right w:w="90" w:type="dxa"/>
            </w:tcMar>
          </w:tcPr>
          <w:p>
            <w:pPr>
              <w:spacing w:after="60" w:before="60" w:line="254" w:lineRule="auto"/>
            </w:pPr>
            <w:r>
              <w:rPr>
                <w:b w:val="0"/>
                <w:color w:val="141A2E"/>
                <w:sz w:val="18"/>
              </w:rPr>
              <w:t>Closure</w:t>
            </w:r>
          </w:p>
        </w:tc>
        <w:tc>
          <w:tcPr>
            <w:tcW w:type="dxa" w:w="7142"/>
            <w:vAlign w:val="center"/>
            <w:shd w:fill="F5F7FC"/>
            <w:tcMar>
              <w:top w:w="90" w:type="dxa"/>
              <w:left w:w="90" w:type="dxa"/>
              <w:bottom w:w="90" w:type="dxa"/>
              <w:right w:w="90" w:type="dxa"/>
            </w:tcMar>
          </w:tcPr>
          <w:p>
            <w:pPr>
              <w:spacing w:after="60" w:before="60" w:line="254" w:lineRule="auto"/>
            </w:pPr>
            <w:r>
              <w:rPr>
                <w:b w:val="0"/>
                <w:color w:val="141A2E"/>
                <w:sz w:val="18"/>
              </w:rPr>
              <w:t>Receiving reviewer confirms the agreed prerequisites and records acceptance</w:t>
            </w:r>
          </w:p>
        </w:tc>
      </w:tr>
    </w:tbl>
    <w:p>
      <w:pPr>
        <w:spacing w:after="40"/>
      </w:pPr>
    </w:p>
    <w:p>
      <w:pPr>
        <w:pStyle w:val="Heading1"/>
      </w:pPr>
      <w:r>
        <w:t>Agreement before use</w:t>
      </w:r>
    </w:p>
    <w:p>
      <w:pPr>
        <w:spacing w:after="220"/>
      </w:pPr>
      <w:r>
        <w:t>Roles and retained clinical decisions confirmed by: __________________________________________________</w:t>
      </w:r>
    </w:p>
    <w:p>
      <w:pPr>
        <w:spacing w:after="220"/>
      </w:pPr>
      <w:r>
        <w:t>Access and record handling confirmed by: __________________________________________________</w:t>
      </w:r>
    </w:p>
    <w:p>
      <w:pPr>
        <w:spacing w:after="220"/>
      </w:pPr>
      <w:r>
        <w:t>Pilot queue and review date: __________________________________________________</w:t>
      </w:r>
    </w:p>
    <w:p>
      <w:pPr>
        <w:spacing w:after="220"/>
      </w:pPr>
      <w:r>
        <w:t>Changes agreed after the pilot: __________________________________________________</w:t>
      </w:r>
    </w:p>
    <w:p>
      <w:pPr>
        <w:spacing w:after="140"/>
      </w:pPr>
      <w:r>
        <w:t>At review, examine returned work and the reason for each return. Improve the upstream acceptance check when the same defect recurs. The template does not replace clinical documentation or coding rules.</w:t>
      </w:r>
    </w:p>
    <w:sectPr w:rsidR="00FC693F" w:rsidRPr="0006063C" w:rsidSect="00034616">
      <w:headerReference w:type="default" r:id="rId9"/>
      <w:footerReference w:type="default" r:id="rId10"/>
      <w:pgSz w:w="12240" w:h="15840"/>
      <w:pgMar w:top="936" w:right="1037" w:bottom="893"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actigy.com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0"/>
    </w:pPr>
    <w:r>
      <w:rPr>
        <w:b/>
        <w:color w:val="000000"/>
        <w:sz w:val="16"/>
      </w:rPr>
      <w:t>ACTIGY BPO  |  EDITABLE OPERATING TEMPLATE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rial" w:hAnsi="Arial"/>
      <w:color w:val="141A2E"/>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40"/>
      <w:outlineLvl w:val="0"/>
    </w:pPr>
    <w:rPr>
      <w:rFonts w:asciiTheme="majorHAnsi" w:eastAsiaTheme="majorEastAsia" w:hAnsiTheme="majorHAnsi" w:cstheme="majorBidi" w:ascii="Arial" w:hAnsi="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60" w:after="14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60" w:after="140"/>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40" w:line="240" w:lineRule="auto" w:before="0"/>
      <w:contextualSpacing/>
    </w:pPr>
    <w:rPr>
      <w:rFonts w:asciiTheme="majorHAnsi" w:eastAsiaTheme="majorEastAsia" w:hAnsiTheme="majorHAnsi" w:cstheme="majorBidi" w:ascii="Arial" w:hAnsi="Arial"/>
      <w:b/>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40"/>
    </w:pPr>
    <w:rPr>
      <w:rFonts w:asciiTheme="majorHAnsi" w:eastAsiaTheme="majorEastAsia" w:hAnsiTheme="majorHAnsi" w:cstheme="majorBidi" w:ascii="Arial" w:hAnsi="Arial"/>
      <w:b w:val="0"/>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val="0"/>
      <w:bCs/>
      <w:color w:val="4D5878"/>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actigy.com/resources/what-is-medical-billing-and-cod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Actigy BPO Medical Billing and Coding Handoff Matrix</dc:title>
  <dc:subject>EDITABLE OPERATING TEMPLATE</dc:subject>
  <dc:creator>Actigy BPO</dc:creator>
  <cp:keywords/>
  <dc:description>generated by python-docx</dc:description>
  <cp:lastModifiedBy/>
  <cp:revision>1</cp:revision>
  <dcterms:created xsi:type="dcterms:W3CDTF">2013-12-23T23:15:00Z</dcterms:created>
  <dcterms:modified xsi:type="dcterms:W3CDTF">2013-12-23T23:15:00Z</dcterms:modified>
  <cp:category/>
  <dc:language>en-US</dc:language>
</cp:coreProperties>
</file>